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BA4B2" w14:textId="77777777" w:rsidR="00600C4C" w:rsidRDefault="00600C4C" w:rsidP="00600C4C">
      <w:pPr>
        <w:jc w:val="center"/>
        <w:rPr>
          <w:rFonts w:ascii="Century Gothic" w:hAnsi="Century Gothic"/>
          <w:b/>
          <w:bCs/>
          <w:sz w:val="26"/>
          <w:szCs w:val="26"/>
        </w:rPr>
      </w:pPr>
    </w:p>
    <w:p w14:paraId="380334E0" w14:textId="77777777" w:rsidR="00600C4C" w:rsidRDefault="00600C4C" w:rsidP="00600C4C">
      <w:pPr>
        <w:jc w:val="center"/>
        <w:rPr>
          <w:rFonts w:ascii="Century Gothic" w:hAnsi="Century Gothic"/>
          <w:b/>
          <w:bCs/>
          <w:sz w:val="26"/>
          <w:szCs w:val="26"/>
        </w:rPr>
      </w:pPr>
    </w:p>
    <w:p w14:paraId="02A7A390" w14:textId="77777777" w:rsidR="00600C4C" w:rsidRDefault="00600C4C" w:rsidP="00600C4C">
      <w:pPr>
        <w:jc w:val="center"/>
        <w:rPr>
          <w:rFonts w:ascii="Century Gothic" w:hAnsi="Century Gothic"/>
          <w:b/>
          <w:bCs/>
          <w:sz w:val="26"/>
          <w:szCs w:val="26"/>
        </w:rPr>
      </w:pPr>
    </w:p>
    <w:p w14:paraId="603BC11B" w14:textId="6E104EB0" w:rsidR="00600C4C" w:rsidRPr="00600C4C" w:rsidRDefault="00600C4C" w:rsidP="00600C4C">
      <w:pPr>
        <w:pStyle w:val="Titre2"/>
        <w:jc w:val="right"/>
        <w:rPr>
          <w:i w:val="0"/>
        </w:rPr>
      </w:pPr>
      <w:r w:rsidRPr="00600C4C">
        <w:rPr>
          <w:i w:val="0"/>
        </w:rPr>
        <w:t>Résultats de l’enquête FFCR</w:t>
      </w:r>
    </w:p>
    <w:p w14:paraId="6F6C1F0B" w14:textId="77777777" w:rsidR="00600C4C" w:rsidRPr="00600C4C" w:rsidRDefault="00600C4C" w:rsidP="00600C4C">
      <w:pPr>
        <w:rPr>
          <w:rFonts w:ascii="Century Gothic" w:hAnsi="Century Gothic"/>
        </w:rPr>
      </w:pPr>
    </w:p>
    <w:p w14:paraId="21EFDAF7" w14:textId="77777777" w:rsidR="00600C4C" w:rsidRPr="00600C4C" w:rsidRDefault="00600C4C" w:rsidP="00600C4C">
      <w:pPr>
        <w:jc w:val="both"/>
        <w:rPr>
          <w:rFonts w:ascii="Century Gothic" w:hAnsi="Century Gothic"/>
        </w:rPr>
      </w:pPr>
      <w:r w:rsidRPr="00600C4C">
        <w:rPr>
          <w:rFonts w:ascii="Century Gothic" w:hAnsi="Century Gothic"/>
        </w:rPr>
        <w:t>Le questionnaire sur le suivi matériel des collections pendant le confinement en France a été envoyé au fichier de la FFCR, soit un total de 1 097 professionnels de la conservation-restauration. Un total de 166 conservateurs-restaurateurs a répondu au questionnaire, lequel a été disponible en ligne pendant deux semaines. Il a été lancé le 28 avril 2020, puis a fait l’objet d’une relance quatre jours avant la clôture de l’enquête, effective au 7 mai. Les données quantitatives présentées dans les paragraphes suivants ont été arrondies pour les pourcentages à l’unité supérieure.</w:t>
      </w:r>
    </w:p>
    <w:p w14:paraId="3E2A9590" w14:textId="58A8F6C2" w:rsidR="00600C4C" w:rsidRDefault="00600C4C" w:rsidP="00765FA6">
      <w:pPr>
        <w:jc w:val="both"/>
        <w:rPr>
          <w:rFonts w:ascii="Century Gothic" w:hAnsi="Century Gothic"/>
        </w:rPr>
      </w:pPr>
      <w:r w:rsidRPr="00600C4C">
        <w:rPr>
          <w:rFonts w:ascii="Century Gothic" w:hAnsi="Century Gothic"/>
        </w:rPr>
        <w:t>Les répondants sont majoritairement des travailleurs indépendants (89 %). Les 10 % de salariés (16 personnes) se répartissent équitablement entre des structures ne conservant pas de collections (ateliers de restauration, laboratoires, etc.) et des établissements patrimoniaux (musées et collections privées). Deux personnes, soit 1 % des répondants, sont à la fois travailleurs indépendants et salariés.</w:t>
      </w:r>
    </w:p>
    <w:p w14:paraId="02B884F7" w14:textId="77777777" w:rsidR="00600C4C" w:rsidRPr="00765FA6" w:rsidRDefault="00600C4C" w:rsidP="00765FA6">
      <w:pPr>
        <w:pStyle w:val="Titre3"/>
      </w:pPr>
      <w:r w:rsidRPr="00765FA6">
        <w:t>Poursuite du travail en atelier</w:t>
      </w:r>
    </w:p>
    <w:p w14:paraId="7BD1AE6D" w14:textId="77777777" w:rsidR="00600C4C" w:rsidRPr="00600C4C" w:rsidRDefault="00600C4C" w:rsidP="00600C4C">
      <w:pPr>
        <w:spacing w:after="0"/>
        <w:jc w:val="both"/>
        <w:rPr>
          <w:rFonts w:ascii="Century Gothic" w:hAnsi="Century Gothic"/>
        </w:rPr>
      </w:pPr>
      <w:r w:rsidRPr="00600C4C">
        <w:rPr>
          <w:rFonts w:ascii="Century Gothic" w:hAnsi="Century Gothic"/>
        </w:rPr>
        <w:t>À 48 %, les répondants ont pu poursuivre leurs activités de conservation curative et/ou de restauration en atelier. Cependant la quasi-totalité d’entre eux, soit 91 %, ont travaillé à temps partiel : 73 % à moins d’un mi-temps, 19 % à mi-temps ou plus et 9 % à temps plein.</w:t>
      </w:r>
    </w:p>
    <w:p w14:paraId="361D7C5E" w14:textId="77777777" w:rsidR="00600C4C" w:rsidRPr="00600C4C" w:rsidRDefault="00600C4C" w:rsidP="00600C4C">
      <w:pPr>
        <w:spacing w:after="0"/>
        <w:rPr>
          <w:rFonts w:ascii="Century Gothic" w:hAnsi="Century Gothic"/>
        </w:rPr>
      </w:pPr>
    </w:p>
    <w:p w14:paraId="2438FACA" w14:textId="77777777" w:rsidR="00600C4C" w:rsidRPr="00600C4C" w:rsidRDefault="00600C4C" w:rsidP="00765FA6">
      <w:pPr>
        <w:pStyle w:val="Titre3"/>
      </w:pPr>
      <w:r w:rsidRPr="00600C4C">
        <w:t>Poursuite du travail de bureau</w:t>
      </w:r>
    </w:p>
    <w:p w14:paraId="38F9ECA7" w14:textId="77777777" w:rsidR="00600C4C" w:rsidRPr="00600C4C" w:rsidRDefault="00600C4C" w:rsidP="00600C4C">
      <w:pPr>
        <w:spacing w:after="0"/>
        <w:jc w:val="both"/>
        <w:rPr>
          <w:rFonts w:ascii="Century Gothic" w:hAnsi="Century Gothic"/>
        </w:rPr>
      </w:pPr>
      <w:r w:rsidRPr="00600C4C">
        <w:rPr>
          <w:rFonts w:ascii="Century Gothic" w:hAnsi="Century Gothic"/>
        </w:rPr>
        <w:t>À 86 %, les répondants ont pu poursuivre leur travail de bureau : rédaction de rapports, tâches administratives, etc. Comme pour le travail en atelier, le temps partiel a été largement majoritaire, cette fois à hauteur de 95 % pour les professionnels ayant répondu positivement : 81 % à moins d’un mi-temps, 14 % à mi-temps ou plus et 5 % à temps plein.</w:t>
      </w:r>
    </w:p>
    <w:p w14:paraId="66F89144" w14:textId="77777777" w:rsidR="00600C4C" w:rsidRPr="00600C4C" w:rsidRDefault="00600C4C" w:rsidP="00600C4C">
      <w:pPr>
        <w:spacing w:after="0"/>
        <w:rPr>
          <w:rFonts w:ascii="Century Gothic" w:hAnsi="Century Gothic"/>
        </w:rPr>
      </w:pPr>
    </w:p>
    <w:p w14:paraId="68E9CC4C" w14:textId="77777777" w:rsidR="00600C4C" w:rsidRPr="00600C4C" w:rsidRDefault="00600C4C" w:rsidP="00765FA6">
      <w:pPr>
        <w:pStyle w:val="Titre3"/>
      </w:pPr>
      <w:r w:rsidRPr="00600C4C">
        <w:t>Mise en œuvre d’interventions conservatoires d’urgence</w:t>
      </w:r>
    </w:p>
    <w:p w14:paraId="6C4F5D58" w14:textId="77777777" w:rsidR="00600C4C" w:rsidRPr="00600C4C" w:rsidRDefault="00600C4C" w:rsidP="00600C4C">
      <w:pPr>
        <w:spacing w:after="0"/>
        <w:jc w:val="both"/>
        <w:rPr>
          <w:rFonts w:ascii="Century Gothic" w:hAnsi="Century Gothic"/>
        </w:rPr>
      </w:pPr>
      <w:r w:rsidRPr="00600C4C">
        <w:rPr>
          <w:rFonts w:ascii="Century Gothic" w:hAnsi="Century Gothic"/>
        </w:rPr>
        <w:t>Pendant le confinement 9 conservateurs-restaurateurs, soit 5 % des répondants, ont été sollicités pour des mesures conservatoires d’urgence. Six de ces professionnels sont travailleurs indépendants, tandis que trois sont salariés d’un établissement où sont conservées des collections. Quatre interventions ont concerné des suspicions d’infestations ou des traitements curatifs suite à un développement fongique ou une infestation d’insectes ; deux interventions ont consisté en la gestion d’un sinistre. Les autres interventions demandées ont porté sur une dépose d’urgence, le refixage d’une polychromie suite à un choc climatique et le nettoyage de déjections d’oiseaux et la protection des œuvres en attendant la réparation de la verrière endommagée.</w:t>
      </w:r>
    </w:p>
    <w:p w14:paraId="574631A1" w14:textId="77777777" w:rsidR="00600C4C" w:rsidRPr="00600C4C" w:rsidRDefault="00600C4C" w:rsidP="00765FA6">
      <w:pPr>
        <w:pStyle w:val="Titre3"/>
      </w:pPr>
      <w:r w:rsidRPr="00600C4C">
        <w:lastRenderedPageBreak/>
        <w:t xml:space="preserve">Surveillance </w:t>
      </w:r>
      <w:r w:rsidRPr="00600C4C">
        <w:rPr>
          <w:i/>
        </w:rPr>
        <w:t>in situ</w:t>
      </w:r>
      <w:r w:rsidRPr="00600C4C">
        <w:t xml:space="preserve"> de l’état matériel des collections</w:t>
      </w:r>
    </w:p>
    <w:p w14:paraId="3AEADD22" w14:textId="77777777" w:rsidR="00600C4C" w:rsidRPr="00600C4C" w:rsidRDefault="00600C4C" w:rsidP="00600C4C">
      <w:pPr>
        <w:spacing w:after="0"/>
        <w:jc w:val="both"/>
        <w:rPr>
          <w:rFonts w:ascii="Century Gothic" w:hAnsi="Century Gothic"/>
        </w:rPr>
      </w:pPr>
      <w:r w:rsidRPr="00600C4C">
        <w:rPr>
          <w:rFonts w:ascii="Century Gothic" w:hAnsi="Century Gothic"/>
        </w:rPr>
        <w:t>Au total 4 conservateurs-restaurateurs, soit 2 % des répondants, ont été sollicités pour surveiller l’état matériel des collections pendant le confinement. Deux d’entre eux sont intervenus deux fois par semaine, les deux autres selon une périodicité hebdomadaire. Ces professionnels sont tous salariés d’établissements dans lesquels sont conservées des collections. Pour l’un d’entre eux, la surveillance était effectuée sur la base de clichés transmis par le directeur du musée, tandis que les trois autres ont pu effectuer une surveillance visuelle sur site.</w:t>
      </w:r>
    </w:p>
    <w:p w14:paraId="5F322D8D" w14:textId="77777777" w:rsidR="00600C4C" w:rsidRPr="00600C4C" w:rsidRDefault="00600C4C" w:rsidP="00600C4C">
      <w:pPr>
        <w:spacing w:after="0"/>
        <w:rPr>
          <w:rFonts w:ascii="Century Gothic" w:hAnsi="Century Gothic"/>
        </w:rPr>
      </w:pPr>
    </w:p>
    <w:p w14:paraId="230A7003" w14:textId="77777777" w:rsidR="00600C4C" w:rsidRPr="00600C4C" w:rsidRDefault="00600C4C" w:rsidP="00765FA6">
      <w:pPr>
        <w:pStyle w:val="Titre3"/>
      </w:pPr>
      <w:r w:rsidRPr="00600C4C">
        <w:t>Surveillance de l’environnement des collections</w:t>
      </w:r>
    </w:p>
    <w:p w14:paraId="6277EB3E" w14:textId="77777777" w:rsidR="00600C4C" w:rsidRPr="00600C4C" w:rsidRDefault="00600C4C" w:rsidP="00600C4C">
      <w:pPr>
        <w:spacing w:after="0"/>
        <w:jc w:val="both"/>
        <w:rPr>
          <w:rFonts w:ascii="Century Gothic" w:hAnsi="Century Gothic"/>
          <w:iCs/>
        </w:rPr>
      </w:pPr>
      <w:r w:rsidRPr="00600C4C">
        <w:rPr>
          <w:rFonts w:ascii="Century Gothic" w:hAnsi="Century Gothic"/>
        </w:rPr>
        <w:t>Au total 5 conservateurs-restaurateurs, soit 3 % des répondants, ont été sollicités pour surveiller l’environnement des collections pendant le confinement. Deux d’entre eux sont intervenus deux fois par semaine, deux autres selon une périodicité hebdomadaire et pour l’un d’entre eux, quotidiennement pour le suivi du climat</w:t>
      </w:r>
      <w:r w:rsidRPr="00600C4C">
        <w:rPr>
          <w:rFonts w:ascii="Century Gothic" w:hAnsi="Century Gothic"/>
          <w:i/>
        </w:rPr>
        <w:t xml:space="preserve">. </w:t>
      </w:r>
      <w:r w:rsidRPr="00600C4C">
        <w:rPr>
          <w:rFonts w:ascii="Century Gothic" w:hAnsi="Century Gothic"/>
          <w:iCs/>
        </w:rPr>
        <w:t>Ces professionnels sont tous salariés d’établissements dans lesquels sont conservées des collections. Le travail s’est effectué à distance pour deux d’entre eux (suivi du climat), en présentiel pour les autres (visite de surveillance des locaux, relevé des pièges).</w:t>
      </w:r>
    </w:p>
    <w:p w14:paraId="2D88A6A8" w14:textId="77777777" w:rsidR="00600C4C" w:rsidRPr="00600C4C" w:rsidRDefault="00600C4C" w:rsidP="00600C4C">
      <w:pPr>
        <w:spacing w:after="0"/>
        <w:jc w:val="both"/>
        <w:rPr>
          <w:rFonts w:ascii="Century Gothic" w:hAnsi="Century Gothic"/>
          <w:iCs/>
        </w:rPr>
      </w:pPr>
    </w:p>
    <w:p w14:paraId="6E6E3B8B" w14:textId="77777777" w:rsidR="00600C4C" w:rsidRPr="00600C4C" w:rsidRDefault="00600C4C" w:rsidP="00600C4C">
      <w:pPr>
        <w:spacing w:after="0"/>
        <w:jc w:val="both"/>
        <w:rPr>
          <w:rFonts w:ascii="Century Gothic" w:hAnsi="Century Gothic"/>
          <w:iCs/>
        </w:rPr>
      </w:pPr>
      <w:r w:rsidRPr="00600C4C">
        <w:rPr>
          <w:rFonts w:ascii="Century Gothic" w:hAnsi="Century Gothic"/>
          <w:iCs/>
        </w:rPr>
        <w:t>Le constat que nous pouvons donc dresser est que pour la surveillance de l’état matériel comme de l’environnement des collections, les compétences des professionnels de la conservation-restauration indépendants n’ont pas été sollicitées.</w:t>
      </w:r>
    </w:p>
    <w:p w14:paraId="15EF2C66" w14:textId="77777777" w:rsidR="00600C4C" w:rsidRPr="00600C4C" w:rsidRDefault="00600C4C" w:rsidP="00600C4C">
      <w:pPr>
        <w:spacing w:after="0"/>
        <w:rPr>
          <w:rFonts w:ascii="Century Gothic" w:hAnsi="Century Gothic"/>
          <w:b/>
          <w:bCs/>
          <w:iCs/>
          <w:sz w:val="24"/>
          <w:szCs w:val="24"/>
          <w:u w:val="single"/>
        </w:rPr>
      </w:pPr>
    </w:p>
    <w:p w14:paraId="138703EC" w14:textId="77777777" w:rsidR="00600C4C" w:rsidRPr="00600C4C" w:rsidRDefault="00600C4C" w:rsidP="00765FA6">
      <w:pPr>
        <w:pStyle w:val="Titre3"/>
      </w:pPr>
      <w:bookmarkStart w:id="0" w:name="_GoBack"/>
      <w:r w:rsidRPr="00600C4C">
        <w:t>Participation à la mise en place protocoles de déconfinement</w:t>
      </w:r>
    </w:p>
    <w:bookmarkEnd w:id="0"/>
    <w:p w14:paraId="3DAE376C" w14:textId="77777777" w:rsidR="00600C4C" w:rsidRPr="00600C4C" w:rsidRDefault="00600C4C" w:rsidP="00600C4C">
      <w:pPr>
        <w:spacing w:after="0"/>
        <w:jc w:val="both"/>
        <w:rPr>
          <w:rFonts w:ascii="Century Gothic" w:hAnsi="Century Gothic"/>
          <w:iCs/>
        </w:rPr>
      </w:pPr>
      <w:r w:rsidRPr="00600C4C">
        <w:rPr>
          <w:rFonts w:ascii="Century Gothic" w:hAnsi="Century Gothic"/>
          <w:iCs/>
        </w:rPr>
        <w:t>Au total 14 conservateurs-restaurateurs, soit 8 % des répondants, ont été sollicités pour établir des protocoles de reprise des activités de conservation matérielle après le confinement. Neuf professionnels sont indépendants, cinq sont salariés d’établissements où sont conservées des collections. Les indépendants ont été sollicités par leurs clients publics pour proposer des plannings, tandis que les salariés ont été interrogés sur l’organisation de la reprise du travail en interne et avec des prestataires. On notera que tous les salariés des établissements patrimoniaux n’ont pas été sollicités à cet effet, puisque seuls cinq des huit conservateurs-restaurateurs ont répondu positivement à cette question.</w:t>
      </w:r>
    </w:p>
    <w:p w14:paraId="5F90F709" w14:textId="77777777" w:rsidR="00600C4C" w:rsidRPr="00600C4C" w:rsidRDefault="00600C4C" w:rsidP="00600C4C">
      <w:pPr>
        <w:spacing w:after="0"/>
        <w:rPr>
          <w:rFonts w:ascii="Century Gothic" w:hAnsi="Century Gothic"/>
          <w:iCs/>
        </w:rPr>
      </w:pPr>
    </w:p>
    <w:p w14:paraId="5761F513" w14:textId="77777777" w:rsidR="00600C4C" w:rsidRPr="00600C4C" w:rsidRDefault="00600C4C" w:rsidP="00600C4C">
      <w:pPr>
        <w:rPr>
          <w:rFonts w:ascii="Century Gothic" w:hAnsi="Century Gothic"/>
          <w:iCs/>
        </w:rPr>
      </w:pPr>
    </w:p>
    <w:p w14:paraId="43E94F38" w14:textId="4DECFECB" w:rsidR="00162880" w:rsidRPr="00600C4C" w:rsidRDefault="00162880" w:rsidP="00BA1975">
      <w:pPr>
        <w:rPr>
          <w:rFonts w:ascii="Century Gothic" w:hAnsi="Century Gothic"/>
        </w:rPr>
      </w:pPr>
    </w:p>
    <w:sectPr w:rsidR="00162880" w:rsidRPr="00600C4C" w:rsidSect="008C10A5">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D009" w14:textId="77777777" w:rsidR="009F5B9A" w:rsidRDefault="009F5B9A">
      <w:pPr>
        <w:spacing w:after="0" w:line="240" w:lineRule="auto"/>
      </w:pPr>
      <w:r>
        <w:separator/>
      </w:r>
    </w:p>
  </w:endnote>
  <w:endnote w:type="continuationSeparator" w:id="0">
    <w:p w14:paraId="67415825" w14:textId="77777777" w:rsidR="009F5B9A" w:rsidRDefault="009F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0000000000000000000"/>
    <w:charset w:val="00"/>
    <w:family w:val="swiss"/>
    <w:pitch w:val="variable"/>
    <w:sig w:usb0="A00002AF" w:usb1="5000214A" w:usb2="00000000" w:usb3="00000000" w:csb0="0000009F" w:csb1="00000000"/>
  </w:font>
  <w:font w:name="Arial Narrow Italic">
    <w:altName w:val="Arial Narrow"/>
    <w:panose1 w:val="020B0604020202020204"/>
    <w:charset w:val="00"/>
    <w:family w:val="auto"/>
    <w:pitch w:val="variable"/>
    <w:sig w:usb0="00000287" w:usb1="00000800" w:usb2="00000000" w:usb3="00000000" w:csb0="0000009F" w:csb1="00000000"/>
  </w:font>
  <w:font w:name="OfficinaSans Regular">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B6A1" w14:textId="77777777" w:rsidR="00EC4C5E" w:rsidRDefault="00EC4C5E" w:rsidP="007275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BF2870" w14:textId="77777777" w:rsidR="00EC4C5E" w:rsidRDefault="00EC4C5E" w:rsidP="00EC4C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6924" w14:textId="77777777" w:rsidR="00D7475C" w:rsidRDefault="00D747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3E3B" w14:textId="02493DC1" w:rsidR="008C10A5" w:rsidRPr="003612C9" w:rsidRDefault="008C10A5" w:rsidP="008C10A5">
    <w:pPr>
      <w:spacing w:after="0" w:line="240" w:lineRule="auto"/>
      <w:ind w:left="-284"/>
      <w:contextualSpacing/>
      <w:rPr>
        <w:rFonts w:ascii="Century Gothic" w:hAnsi="Century Gothic"/>
        <w:sz w:val="14"/>
        <w:szCs w:val="14"/>
      </w:rPr>
    </w:pPr>
    <w:r w:rsidRPr="003612C9">
      <w:rPr>
        <w:rFonts w:ascii="Century Gothic" w:hAnsi="Century Gothic"/>
        <w:sz w:val="14"/>
        <w:szCs w:val="14"/>
      </w:rPr>
      <w:t>t. 0</w:t>
    </w:r>
    <w:r w:rsidR="008769F7">
      <w:rPr>
        <w:rFonts w:ascii="Century Gothic" w:hAnsi="Century Gothic"/>
        <w:sz w:val="14"/>
        <w:szCs w:val="14"/>
      </w:rPr>
      <w:t>6</w:t>
    </w:r>
    <w:r w:rsidRPr="003612C9">
      <w:rPr>
        <w:rFonts w:ascii="Century Gothic" w:hAnsi="Century Gothic"/>
        <w:sz w:val="14"/>
        <w:szCs w:val="14"/>
      </w:rPr>
      <w:t xml:space="preserve"> </w:t>
    </w:r>
    <w:r w:rsidR="008769F7">
      <w:rPr>
        <w:rFonts w:ascii="Century Gothic" w:hAnsi="Century Gothic"/>
        <w:sz w:val="14"/>
        <w:szCs w:val="14"/>
      </w:rPr>
      <w:t>95 20 25 02</w:t>
    </w:r>
    <w:r w:rsidRPr="003612C9">
      <w:rPr>
        <w:rFonts w:ascii="Century Gothic" w:hAnsi="Century Gothic"/>
        <w:sz w:val="14"/>
        <w:szCs w:val="14"/>
      </w:rPr>
      <w:t xml:space="preserve"> l contact@ffcr.fr l </w:t>
    </w:r>
    <w:r w:rsidR="00B3704D">
      <w:rPr>
        <w:rFonts w:ascii="Century Gothic" w:hAnsi="Century Gothic"/>
        <w:sz w:val="14"/>
        <w:szCs w:val="14"/>
      </w:rPr>
      <w:t>www.</w:t>
    </w:r>
    <w:r w:rsidRPr="003612C9">
      <w:rPr>
        <w:rFonts w:ascii="Century Gothic" w:hAnsi="Century Gothic"/>
        <w:sz w:val="14"/>
        <w:szCs w:val="14"/>
      </w:rPr>
      <w:t>ffcr.fr</w:t>
    </w:r>
  </w:p>
  <w:p w14:paraId="59839DCC" w14:textId="77777777" w:rsidR="00B3704D" w:rsidRDefault="00B3704D" w:rsidP="008C10A5">
    <w:pPr>
      <w:spacing w:after="0"/>
      <w:ind w:left="-284"/>
      <w:contextualSpacing/>
      <w:rPr>
        <w:rFonts w:ascii="Century Gothic" w:hAnsi="Century Gothic"/>
        <w:sz w:val="14"/>
        <w:szCs w:val="14"/>
      </w:rPr>
    </w:pPr>
    <w:r>
      <w:rPr>
        <w:rFonts w:ascii="Century Gothic" w:hAnsi="Century Gothic"/>
        <w:sz w:val="14"/>
        <w:szCs w:val="14"/>
      </w:rPr>
      <w:t>c</w:t>
    </w:r>
    <w:r w:rsidRPr="003612C9">
      <w:rPr>
        <w:rFonts w:ascii="Century Gothic" w:hAnsi="Century Gothic"/>
        <w:sz w:val="14"/>
        <w:szCs w:val="14"/>
      </w:rPr>
      <w:t>orrespondance l</w:t>
    </w:r>
    <w:r>
      <w:rPr>
        <w:rFonts w:ascii="Century Gothic" w:hAnsi="Century Gothic"/>
        <w:sz w:val="14"/>
        <w:szCs w:val="14"/>
      </w:rPr>
      <w:t xml:space="preserve"> 21 rue d’Annam</w:t>
    </w:r>
    <w:r w:rsidRPr="003612C9">
      <w:rPr>
        <w:rFonts w:ascii="Century Gothic" w:hAnsi="Century Gothic"/>
        <w:sz w:val="14"/>
        <w:szCs w:val="14"/>
      </w:rPr>
      <w:t xml:space="preserve"> l 750</w:t>
    </w:r>
    <w:r>
      <w:rPr>
        <w:rFonts w:ascii="Century Gothic" w:hAnsi="Century Gothic"/>
        <w:sz w:val="14"/>
        <w:szCs w:val="14"/>
      </w:rPr>
      <w:t>20</w:t>
    </w:r>
    <w:r w:rsidRPr="003612C9">
      <w:rPr>
        <w:rFonts w:ascii="Century Gothic" w:hAnsi="Century Gothic"/>
        <w:sz w:val="14"/>
        <w:szCs w:val="14"/>
      </w:rPr>
      <w:t xml:space="preserve"> Paris </w:t>
    </w:r>
  </w:p>
  <w:p w14:paraId="10D41F89" w14:textId="6F368351" w:rsidR="008C10A5" w:rsidRDefault="008C10A5" w:rsidP="008C10A5">
    <w:pPr>
      <w:spacing w:after="0"/>
      <w:ind w:left="-284"/>
      <w:contextualSpacing/>
    </w:pPr>
    <w:r w:rsidRPr="003612C9">
      <w:rPr>
        <w:rFonts w:ascii="Century Gothic" w:hAnsi="Century Gothic"/>
        <w:sz w:val="14"/>
        <w:szCs w:val="14"/>
      </w:rPr>
      <w:t xml:space="preserve">siège social l </w:t>
    </w:r>
    <w:r w:rsidR="007D0F2A">
      <w:rPr>
        <w:rFonts w:ascii="Century Gothic" w:hAnsi="Century Gothic"/>
        <w:sz w:val="14"/>
        <w:szCs w:val="14"/>
      </w:rPr>
      <w:t>23</w:t>
    </w:r>
    <w:r w:rsidRPr="003612C9">
      <w:rPr>
        <w:rFonts w:ascii="Century Gothic" w:hAnsi="Century Gothic"/>
        <w:sz w:val="14"/>
        <w:szCs w:val="14"/>
      </w:rPr>
      <w:t xml:space="preserve"> rue Greneta l 75002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7408" w14:textId="77777777" w:rsidR="009F5B9A" w:rsidRDefault="009F5B9A">
      <w:pPr>
        <w:spacing w:after="0" w:line="240" w:lineRule="auto"/>
      </w:pPr>
      <w:r>
        <w:separator/>
      </w:r>
    </w:p>
  </w:footnote>
  <w:footnote w:type="continuationSeparator" w:id="0">
    <w:p w14:paraId="3277440C" w14:textId="77777777" w:rsidR="009F5B9A" w:rsidRDefault="009F5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C9FC" w14:textId="77777777" w:rsidR="00D81F32" w:rsidRDefault="009F5B9A">
    <w:pPr>
      <w:pStyle w:val="En-tte"/>
    </w:pPr>
    <w:r>
      <w:rPr>
        <w:noProof/>
      </w:rPr>
      <w:pict w14:anchorId="30C7E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papierentete" style="position:absolute;left:0;text-align:left;margin-left:0;margin-top:0;width:595.3pt;height:841.9pt;z-index:-251658240;mso-wrap-edited:f;mso-width-percent:0;mso-height-percent:0;mso-position-horizontal:center;mso-position-horizontal-relative:margin;mso-position-vertical:center;mso-position-vertical-relative:margin;mso-width-percent:0;mso-height-percent:0" wrapcoords="6447 57 6284 115 6175 230 6202 500 8786 653 6664 692 6175 711 6175 1154 8161 1269 6746 1346 6175 1365 6175 1808 7535 1884 10800 1904 6801 2000 2013 2154 2013 3385 6256 3442 6338 3750 6229 3846 6175 3962 6202 4173 9113 4346 6610 4366 6175 4385 6175 4827 8460 4962 6175 5039 6175 5481 7861 5577 10800 5597 10800 18849 2203 19138 2040 19176 2013 20311 8297 20311 8351 19830 8025 19811 5495 19734 8297 19561 8324 19157 2720 19138 10800 18830 10772 5577 6909 5289 10772 4962 6882 4673 10772 4346 6855 4058 6909 3943 6828 3827 6719 3750 6828 3442 8270 3385 8351 3365 7780 2827 8079 2808 8324 2596 8324 2423 8215 2288 8079 2211 10772 1884 6909 1596 10772 1269 6882 980 10772 653 6882 365 6909 230 6801 115 6637 57 6447 57">
          <v:imagedata r:id="rId1" o:title="papierent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C227" w14:textId="77777777" w:rsidR="00D7475C" w:rsidRDefault="00D747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2B81" w14:textId="4630F03D" w:rsidR="00D81F32" w:rsidRDefault="00D7475C">
    <w:pPr>
      <w:pStyle w:val="En-tte"/>
    </w:pPr>
    <w:r>
      <w:rPr>
        <w:noProof/>
      </w:rPr>
      <w:drawing>
        <wp:anchor distT="0" distB="0" distL="114300" distR="114300" simplePos="0" relativeHeight="251657216" behindDoc="0" locked="0" layoutInCell="1" allowOverlap="1" wp14:anchorId="5E7D350A" wp14:editId="330B14C4">
          <wp:simplePos x="0" y="0"/>
          <wp:positionH relativeFrom="column">
            <wp:posOffset>-60960</wp:posOffset>
          </wp:positionH>
          <wp:positionV relativeFrom="paragraph">
            <wp:posOffset>3810</wp:posOffset>
          </wp:positionV>
          <wp:extent cx="2502000" cy="1828873"/>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png"/>
                  <pic:cNvPicPr/>
                </pic:nvPicPr>
                <pic:blipFill>
                  <a:blip r:embed="rId1"/>
                  <a:stretch>
                    <a:fillRect/>
                  </a:stretch>
                </pic:blipFill>
                <pic:spPr>
                  <a:xfrm>
                    <a:off x="0" y="0"/>
                    <a:ext cx="2502000" cy="182887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064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94E5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36E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CC4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1C4B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AA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6E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7CC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5CBF8C"/>
    <w:lvl w:ilvl="0">
      <w:start w:val="1"/>
      <w:numFmt w:val="decimal"/>
      <w:lvlText w:val="%1."/>
      <w:lvlJc w:val="left"/>
      <w:pPr>
        <w:tabs>
          <w:tab w:val="num" w:pos="360"/>
        </w:tabs>
        <w:ind w:left="360" w:hanging="360"/>
      </w:pPr>
    </w:lvl>
  </w:abstractNum>
  <w:abstractNum w:abstractNumId="9" w15:restartNumberingAfterBreak="0">
    <w:nsid w:val="41E82151"/>
    <w:multiLevelType w:val="hybridMultilevel"/>
    <w:tmpl w:val="0BA88F02"/>
    <w:lvl w:ilvl="0" w:tplc="0B4E2C9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4FD01B90"/>
    <w:multiLevelType w:val="hybridMultilevel"/>
    <w:tmpl w:val="855A6FC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4889"/>
    <w:multiLevelType w:val="hybridMultilevel"/>
    <w:tmpl w:val="C59CA3C6"/>
    <w:lvl w:ilvl="0" w:tplc="2C98482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A26C7C"/>
    <w:multiLevelType w:val="hybridMultilevel"/>
    <w:tmpl w:val="4636D79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4"/>
  </w:num>
  <w:num w:numId="6">
    <w:abstractNumId w:val="5"/>
  </w:num>
  <w:num w:numId="7">
    <w:abstractNumId w:val="6"/>
  </w:num>
  <w:num w:numId="8">
    <w:abstractNumId w:val="7"/>
  </w:num>
  <w:num w:numId="9">
    <w:abstractNumId w:val="0"/>
  </w:num>
  <w:num w:numId="10">
    <w:abstractNumId w:val="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embedSystemFonts/>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1E"/>
    <w:rsid w:val="00006EF5"/>
    <w:rsid w:val="00030DA0"/>
    <w:rsid w:val="000646D3"/>
    <w:rsid w:val="00085581"/>
    <w:rsid w:val="00096572"/>
    <w:rsid w:val="000A11C4"/>
    <w:rsid w:val="000C27A7"/>
    <w:rsid w:val="0010316B"/>
    <w:rsid w:val="00117B99"/>
    <w:rsid w:val="00153D1B"/>
    <w:rsid w:val="00162880"/>
    <w:rsid w:val="00184C8D"/>
    <w:rsid w:val="002460DA"/>
    <w:rsid w:val="00247F69"/>
    <w:rsid w:val="00261AD0"/>
    <w:rsid w:val="002E22A4"/>
    <w:rsid w:val="002E2857"/>
    <w:rsid w:val="00332B83"/>
    <w:rsid w:val="003367B5"/>
    <w:rsid w:val="00346E43"/>
    <w:rsid w:val="003612C9"/>
    <w:rsid w:val="003C7366"/>
    <w:rsid w:val="004144E3"/>
    <w:rsid w:val="00451329"/>
    <w:rsid w:val="00454FB6"/>
    <w:rsid w:val="00472BED"/>
    <w:rsid w:val="004C4C09"/>
    <w:rsid w:val="004D155F"/>
    <w:rsid w:val="00527633"/>
    <w:rsid w:val="00541200"/>
    <w:rsid w:val="005508D6"/>
    <w:rsid w:val="00595134"/>
    <w:rsid w:val="005C244B"/>
    <w:rsid w:val="005E2216"/>
    <w:rsid w:val="005F4624"/>
    <w:rsid w:val="00600C4C"/>
    <w:rsid w:val="006445A0"/>
    <w:rsid w:val="00685089"/>
    <w:rsid w:val="00735A6B"/>
    <w:rsid w:val="00765FA6"/>
    <w:rsid w:val="00776700"/>
    <w:rsid w:val="00777438"/>
    <w:rsid w:val="007D0F2A"/>
    <w:rsid w:val="007E37DE"/>
    <w:rsid w:val="007F2B7F"/>
    <w:rsid w:val="00837A2C"/>
    <w:rsid w:val="008769F7"/>
    <w:rsid w:val="0089051D"/>
    <w:rsid w:val="008923A1"/>
    <w:rsid w:val="008C10A5"/>
    <w:rsid w:val="00993BAD"/>
    <w:rsid w:val="009C6149"/>
    <w:rsid w:val="009F5B9A"/>
    <w:rsid w:val="00A24EFF"/>
    <w:rsid w:val="00A322C6"/>
    <w:rsid w:val="00A324EA"/>
    <w:rsid w:val="00A51418"/>
    <w:rsid w:val="00AF7F02"/>
    <w:rsid w:val="00B3704D"/>
    <w:rsid w:val="00B53CB8"/>
    <w:rsid w:val="00BA1975"/>
    <w:rsid w:val="00BA3047"/>
    <w:rsid w:val="00BF234F"/>
    <w:rsid w:val="00C826F5"/>
    <w:rsid w:val="00CE7500"/>
    <w:rsid w:val="00CF366F"/>
    <w:rsid w:val="00CF4320"/>
    <w:rsid w:val="00D7475C"/>
    <w:rsid w:val="00D81F32"/>
    <w:rsid w:val="00DC37E2"/>
    <w:rsid w:val="00E25668"/>
    <w:rsid w:val="00E2711D"/>
    <w:rsid w:val="00E51233"/>
    <w:rsid w:val="00E8292C"/>
    <w:rsid w:val="00EA7523"/>
    <w:rsid w:val="00EC4C5E"/>
    <w:rsid w:val="00F5691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05D955A"/>
  <w15:docId w15:val="{2B123EE1-D719-B540-871B-31B2289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4"/>
        <w:szCs w:val="24"/>
        <w:lang w:val="fr-FR" w:eastAsia="fr-FR"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annonces"/>
    <w:qFormat/>
    <w:rsid w:val="00F5691E"/>
    <w:pPr>
      <w:spacing w:after="200" w:line="276" w:lineRule="auto"/>
    </w:pPr>
    <w:rPr>
      <w:rFonts w:ascii="Calibri" w:eastAsia="Calibri" w:hAnsi="Calibri" w:cs="Times New Roman"/>
      <w:sz w:val="22"/>
      <w:szCs w:val="22"/>
      <w:lang w:eastAsia="en-US"/>
    </w:rPr>
  </w:style>
  <w:style w:type="paragraph" w:styleId="Titre1">
    <w:name w:val="heading 1"/>
    <w:basedOn w:val="Normal"/>
    <w:next w:val="Normal"/>
    <w:qFormat/>
    <w:rsid w:val="004C5AFF"/>
    <w:pPr>
      <w:keepNext/>
      <w:spacing w:before="240" w:after="60" w:line="240" w:lineRule="auto"/>
      <w:jc w:val="both"/>
      <w:outlineLvl w:val="0"/>
    </w:pPr>
    <w:rPr>
      <w:rFonts w:ascii="Arial" w:eastAsia="Times" w:hAnsi="Arial" w:cstheme="minorBidi"/>
      <w:b/>
      <w:color w:val="800080"/>
      <w:kern w:val="32"/>
      <w:sz w:val="36"/>
      <w:szCs w:val="32"/>
      <w:lang w:eastAsia="fr-FR"/>
    </w:rPr>
  </w:style>
  <w:style w:type="paragraph" w:styleId="Titre2">
    <w:name w:val="heading 2"/>
    <w:basedOn w:val="Normal"/>
    <w:next w:val="Normal"/>
    <w:qFormat/>
    <w:rsid w:val="00EC4C5E"/>
    <w:pPr>
      <w:keepNext/>
      <w:spacing w:before="240" w:after="60" w:line="240" w:lineRule="auto"/>
      <w:outlineLvl w:val="1"/>
    </w:pPr>
    <w:rPr>
      <w:rFonts w:ascii="Arial" w:eastAsia="Times" w:hAnsi="Arial" w:cstheme="minorBidi"/>
      <w:b/>
      <w:i/>
      <w:color w:val="A5BD00"/>
      <w:sz w:val="28"/>
      <w:szCs w:val="28"/>
      <w:lang w:eastAsia="fr-FR"/>
    </w:rPr>
  </w:style>
  <w:style w:type="paragraph" w:styleId="Titre3">
    <w:name w:val="heading 3"/>
    <w:basedOn w:val="Normal"/>
    <w:next w:val="Normal"/>
    <w:qFormat/>
    <w:rsid w:val="00765FA6"/>
    <w:pPr>
      <w:spacing w:after="120"/>
      <w:outlineLvl w:val="2"/>
    </w:pPr>
    <w:rPr>
      <w:rFonts w:ascii="Century Gothic" w:hAnsi="Century Gothic"/>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eau">
    <w:name w:val="chapeau"/>
    <w:basedOn w:val="Normal"/>
    <w:autoRedefine/>
    <w:rsid w:val="004C5AFF"/>
    <w:pPr>
      <w:spacing w:after="0" w:line="240" w:lineRule="auto"/>
      <w:jc w:val="both"/>
    </w:pPr>
    <w:rPr>
      <w:rFonts w:ascii="Times" w:eastAsia="Times" w:hAnsi="Times" w:cstheme="minorBidi"/>
      <w:b/>
      <w:color w:val="D646BD"/>
      <w:sz w:val="24"/>
      <w:szCs w:val="20"/>
      <w:lang w:eastAsia="fr-FR"/>
    </w:rPr>
  </w:style>
  <w:style w:type="paragraph" w:customStyle="1" w:styleId="citation">
    <w:name w:val="citation"/>
    <w:basedOn w:val="Normal"/>
    <w:rsid w:val="004C5AFF"/>
    <w:pPr>
      <w:spacing w:before="20"/>
      <w:ind w:left="426"/>
    </w:pPr>
    <w:rPr>
      <w:rFonts w:ascii="Times" w:hAnsi="Times"/>
      <w:color w:val="808000"/>
    </w:rPr>
  </w:style>
  <w:style w:type="paragraph" w:customStyle="1" w:styleId="dtailstechniques">
    <w:name w:val="détails techniques"/>
    <w:basedOn w:val="Normal"/>
    <w:rsid w:val="004C5AFF"/>
    <w:rPr>
      <w:rFonts w:ascii="Futura" w:hAnsi="Futura"/>
      <w:color w:val="808080"/>
      <w:sz w:val="20"/>
    </w:rPr>
  </w:style>
  <w:style w:type="paragraph" w:styleId="En-tte">
    <w:name w:val="header"/>
    <w:basedOn w:val="Normal"/>
    <w:rsid w:val="004C5AFF"/>
    <w:pPr>
      <w:tabs>
        <w:tab w:val="center" w:pos="4536"/>
        <w:tab w:val="right" w:pos="9072"/>
      </w:tabs>
      <w:spacing w:after="0" w:line="240" w:lineRule="auto"/>
      <w:jc w:val="both"/>
    </w:pPr>
    <w:rPr>
      <w:rFonts w:ascii="Times" w:eastAsia="Times" w:hAnsi="Times" w:cstheme="minorBidi"/>
      <w:sz w:val="24"/>
      <w:szCs w:val="20"/>
      <w:lang w:eastAsia="fr-FR"/>
    </w:rPr>
  </w:style>
  <w:style w:type="character" w:styleId="Lienhypertexte">
    <w:name w:val="Hyperlink"/>
    <w:basedOn w:val="Policepardfaut"/>
    <w:uiPriority w:val="99"/>
    <w:rsid w:val="004C5AFF"/>
    <w:rPr>
      <w:color w:val="0000FF"/>
      <w:sz w:val="20"/>
      <w:u w:val="single"/>
    </w:rPr>
  </w:style>
  <w:style w:type="paragraph" w:customStyle="1" w:styleId="Notes">
    <w:name w:val="Notes"/>
    <w:basedOn w:val="Normal"/>
    <w:rsid w:val="004C5AFF"/>
    <w:rPr>
      <w:sz w:val="20"/>
    </w:rPr>
  </w:style>
  <w:style w:type="character" w:styleId="Numrodepage">
    <w:name w:val="page number"/>
    <w:basedOn w:val="Policepardfaut"/>
    <w:uiPriority w:val="99"/>
    <w:rsid w:val="004C5AFF"/>
  </w:style>
  <w:style w:type="paragraph" w:customStyle="1" w:styleId="remarque">
    <w:name w:val="remarque"/>
    <w:rsid w:val="00EA2539"/>
    <w:rPr>
      <w:rFonts w:ascii="Arial Narrow Italic" w:hAnsi="Arial Narrow Italic"/>
      <w:i/>
      <w:color w:val="808000"/>
      <w:sz w:val="22"/>
      <w:szCs w:val="22"/>
      <w:lang w:val="en-US"/>
    </w:rPr>
  </w:style>
  <w:style w:type="character" w:styleId="Lienhypertextesuivivisit">
    <w:name w:val="FollowedHyperlink"/>
    <w:basedOn w:val="Lienhypertexte"/>
    <w:rsid w:val="00EA3B6D"/>
    <w:rPr>
      <w:color w:val="800080"/>
      <w:sz w:val="20"/>
      <w:u w:val="single"/>
    </w:rPr>
  </w:style>
  <w:style w:type="paragraph" w:customStyle="1" w:styleId="titreparagraphe">
    <w:name w:val="titre paragraphe"/>
    <w:basedOn w:val="Normal"/>
    <w:rsid w:val="0079780F"/>
    <w:pPr>
      <w:shd w:val="clear" w:color="auto" w:fill="FFCC99"/>
      <w:tabs>
        <w:tab w:val="right" w:pos="9072"/>
      </w:tabs>
    </w:pPr>
    <w:rPr>
      <w:rFonts w:ascii="Times" w:hAnsi="Times"/>
    </w:rPr>
  </w:style>
  <w:style w:type="paragraph" w:styleId="Pieddepage">
    <w:name w:val="footer"/>
    <w:basedOn w:val="Normal"/>
    <w:link w:val="PieddepageCar"/>
    <w:uiPriority w:val="99"/>
    <w:unhideWhenUsed/>
    <w:rsid w:val="00E4308E"/>
    <w:pPr>
      <w:tabs>
        <w:tab w:val="center" w:pos="4536"/>
        <w:tab w:val="right" w:pos="9072"/>
      </w:tabs>
      <w:spacing w:after="0" w:line="240" w:lineRule="auto"/>
      <w:jc w:val="both"/>
    </w:pPr>
    <w:rPr>
      <w:rFonts w:ascii="OfficinaSans Regular" w:eastAsia="Times" w:hAnsi="OfficinaSans Regular" w:cstheme="minorBidi"/>
      <w:sz w:val="24"/>
      <w:szCs w:val="20"/>
      <w:lang w:eastAsia="fr-FR"/>
    </w:rPr>
  </w:style>
  <w:style w:type="character" w:customStyle="1" w:styleId="PieddepageCar">
    <w:name w:val="Pied de page Car"/>
    <w:basedOn w:val="Policepardfaut"/>
    <w:link w:val="Pieddepage"/>
    <w:uiPriority w:val="99"/>
    <w:rsid w:val="00E4308E"/>
    <w:rPr>
      <w:rFonts w:ascii="OfficinaSans Regular" w:hAnsi="OfficinaSans Regular"/>
      <w:sz w:val="24"/>
    </w:rPr>
  </w:style>
  <w:style w:type="paragraph" w:styleId="Textedebulles">
    <w:name w:val="Balloon Text"/>
    <w:basedOn w:val="Normal"/>
    <w:link w:val="TextedebullesCar"/>
    <w:rsid w:val="0054120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rsid w:val="00541200"/>
    <w:rPr>
      <w:rFonts w:ascii="Lucida Grande" w:eastAsia="Calibri" w:hAnsi="Lucida Grande" w:cs="Times New Roman"/>
      <w:sz w:val="18"/>
      <w:szCs w:val="18"/>
      <w:lang w:eastAsia="en-US"/>
    </w:rPr>
  </w:style>
  <w:style w:type="paragraph" w:styleId="Corpsdetexte">
    <w:name w:val="Body Text"/>
    <w:basedOn w:val="Normal"/>
    <w:link w:val="CorpsdetexteCar"/>
    <w:rsid w:val="002E28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Pr>
      <w:rFonts w:ascii="Century Gothic" w:hAnsi="Century Gothic"/>
      <w:sz w:val="18"/>
    </w:rPr>
  </w:style>
  <w:style w:type="character" w:customStyle="1" w:styleId="CorpsdetexteCar">
    <w:name w:val="Corps de texte Car"/>
    <w:basedOn w:val="Policepardfaut"/>
    <w:link w:val="Corpsdetexte"/>
    <w:rsid w:val="002E2857"/>
    <w:rPr>
      <w:rFonts w:ascii="Century Gothic" w:eastAsia="Calibri" w:hAnsi="Century Gothic" w:cs="Times New Roman"/>
      <w:sz w:val="18"/>
      <w:szCs w:val="22"/>
      <w:lang w:eastAsia="en-US"/>
    </w:rPr>
  </w:style>
  <w:style w:type="character" w:styleId="Marquedecommentaire">
    <w:name w:val="annotation reference"/>
    <w:uiPriority w:val="99"/>
    <w:rsid w:val="002E2857"/>
    <w:rPr>
      <w:sz w:val="18"/>
    </w:rPr>
  </w:style>
  <w:style w:type="paragraph" w:styleId="Commentaire">
    <w:name w:val="annotation text"/>
    <w:basedOn w:val="Normal"/>
    <w:link w:val="CommentaireCar"/>
    <w:uiPriority w:val="99"/>
    <w:rsid w:val="002E2857"/>
    <w:rPr>
      <w:sz w:val="24"/>
      <w:szCs w:val="24"/>
    </w:rPr>
  </w:style>
  <w:style w:type="character" w:customStyle="1" w:styleId="CommentaireCar">
    <w:name w:val="Commentaire Car"/>
    <w:basedOn w:val="Policepardfaut"/>
    <w:link w:val="Commentaire"/>
    <w:uiPriority w:val="99"/>
    <w:rsid w:val="002E2857"/>
    <w:rPr>
      <w:rFonts w:ascii="Calibri" w:eastAsia="Calibri" w:hAnsi="Calibri" w:cs="Times New Roman"/>
      <w:lang w:eastAsia="en-US"/>
    </w:rPr>
  </w:style>
  <w:style w:type="paragraph" w:styleId="Objetducommentaire">
    <w:name w:val="annotation subject"/>
    <w:basedOn w:val="Commentaire"/>
    <w:next w:val="Commentaire"/>
    <w:link w:val="ObjetducommentaireCar"/>
    <w:rsid w:val="002E2857"/>
    <w:rPr>
      <w:sz w:val="22"/>
      <w:szCs w:val="22"/>
    </w:rPr>
  </w:style>
  <w:style w:type="character" w:customStyle="1" w:styleId="ObjetducommentaireCar">
    <w:name w:val="Objet du commentaire Car"/>
    <w:basedOn w:val="CommentaireCar"/>
    <w:link w:val="Objetducommentaire"/>
    <w:rsid w:val="002E2857"/>
    <w:rPr>
      <w:rFonts w:ascii="Calibri" w:eastAsia="Calibri" w:hAnsi="Calibri" w:cs="Times New Roman"/>
      <w:sz w:val="22"/>
      <w:szCs w:val="22"/>
      <w:lang w:eastAsia="en-US"/>
    </w:rPr>
  </w:style>
  <w:style w:type="paragraph" w:styleId="Paragraphedeliste">
    <w:name w:val="List Paragraph"/>
    <w:basedOn w:val="Normal"/>
    <w:uiPriority w:val="34"/>
    <w:qFormat/>
    <w:rsid w:val="005508D6"/>
    <w:pPr>
      <w:spacing w:after="0" w:line="240" w:lineRule="auto"/>
      <w:ind w:left="720"/>
      <w:contextualSpacing/>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unhideWhenUsed/>
    <w:rsid w:val="005508D6"/>
    <w:pPr>
      <w:spacing w:after="0" w:line="240" w:lineRule="auto"/>
    </w:pPr>
    <w:rPr>
      <w:rFonts w:ascii="Times New Roman" w:eastAsiaTheme="minorEastAsia" w:hAnsi="Times New Roman"/>
      <w:sz w:val="20"/>
      <w:szCs w:val="20"/>
      <w:lang w:eastAsia="fr-FR"/>
    </w:rPr>
  </w:style>
  <w:style w:type="character" w:customStyle="1" w:styleId="NotedebasdepageCar">
    <w:name w:val="Note de bas de page Car"/>
    <w:basedOn w:val="Policepardfaut"/>
    <w:link w:val="Notedebasdepage"/>
    <w:uiPriority w:val="99"/>
    <w:rsid w:val="005508D6"/>
    <w:rPr>
      <w:rFonts w:ascii="Times New Roman" w:eastAsiaTheme="minorEastAsia" w:hAnsi="Times New Roman" w:cs="Times New Roman"/>
      <w:sz w:val="20"/>
      <w:szCs w:val="20"/>
    </w:rPr>
  </w:style>
  <w:style w:type="character" w:styleId="Appelnotedebasdep">
    <w:name w:val="footnote reference"/>
    <w:basedOn w:val="Policepardfaut"/>
    <w:uiPriority w:val="99"/>
    <w:semiHidden/>
    <w:unhideWhenUsed/>
    <w:rsid w:val="005508D6"/>
    <w:rPr>
      <w:vertAlign w:val="superscript"/>
    </w:rPr>
  </w:style>
  <w:style w:type="paragraph" w:styleId="Rvision">
    <w:name w:val="Revision"/>
    <w:hidden/>
    <w:semiHidden/>
    <w:rsid w:val="005508D6"/>
    <w:rPr>
      <w:rFonts w:ascii="Calibri" w:eastAsia="Calibri" w:hAnsi="Calibri" w:cs="Times New Roman"/>
      <w:sz w:val="22"/>
      <w:szCs w:val="22"/>
      <w:lang w:eastAsia="en-US"/>
    </w:rPr>
  </w:style>
  <w:style w:type="paragraph" w:customStyle="1" w:styleId="p1">
    <w:name w:val="p1"/>
    <w:basedOn w:val="Normal"/>
    <w:rsid w:val="005508D6"/>
    <w:pPr>
      <w:spacing w:after="0" w:line="240" w:lineRule="auto"/>
    </w:pPr>
    <w:rPr>
      <w:rFonts w:ascii="Arial" w:eastAsia="Times" w:hAnsi="Arial" w:cs="Arial"/>
      <w:color w:val="232323"/>
      <w:sz w:val="19"/>
      <w:szCs w:val="19"/>
      <w:lang w:eastAsia="fr-FR"/>
    </w:rPr>
  </w:style>
  <w:style w:type="character" w:customStyle="1" w:styleId="s1">
    <w:name w:val="s1"/>
    <w:basedOn w:val="Policepardfaut"/>
    <w:rsid w:val="005508D6"/>
  </w:style>
  <w:style w:type="character" w:styleId="lev">
    <w:name w:val="Strong"/>
    <w:uiPriority w:val="22"/>
    <w:qFormat/>
    <w:rsid w:val="0089051D"/>
    <w:rPr>
      <w:b/>
    </w:rPr>
  </w:style>
  <w:style w:type="paragraph" w:styleId="NormalWeb">
    <w:name w:val="Normal (Web)"/>
    <w:basedOn w:val="Normal"/>
    <w:uiPriority w:val="99"/>
    <w:unhideWhenUsed/>
    <w:rsid w:val="0089051D"/>
    <w:pPr>
      <w:spacing w:before="100" w:beforeAutospacing="1" w:after="100" w:afterAutospacing="1" w:line="240" w:lineRule="auto"/>
    </w:pPr>
    <w:rPr>
      <w:rFonts w:ascii="Times New Roman" w:eastAsia="Times"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6172">
      <w:bodyDiv w:val="1"/>
      <w:marLeft w:val="0"/>
      <w:marRight w:val="0"/>
      <w:marTop w:val="0"/>
      <w:marBottom w:val="0"/>
      <w:divBdr>
        <w:top w:val="none" w:sz="0" w:space="0" w:color="auto"/>
        <w:left w:val="none" w:sz="0" w:space="0" w:color="auto"/>
        <w:bottom w:val="none" w:sz="0" w:space="0" w:color="auto"/>
        <w:right w:val="none" w:sz="0" w:space="0" w:color="auto"/>
      </w:divBdr>
    </w:div>
    <w:div w:id="641613870">
      <w:bodyDiv w:val="1"/>
      <w:marLeft w:val="0"/>
      <w:marRight w:val="0"/>
      <w:marTop w:val="0"/>
      <w:marBottom w:val="0"/>
      <w:divBdr>
        <w:top w:val="none" w:sz="0" w:space="0" w:color="auto"/>
        <w:left w:val="none" w:sz="0" w:space="0" w:color="auto"/>
        <w:bottom w:val="none" w:sz="0" w:space="0" w:color="auto"/>
        <w:right w:val="none" w:sz="0" w:space="0" w:color="auto"/>
      </w:divBdr>
    </w:div>
    <w:div w:id="1270316701">
      <w:bodyDiv w:val="1"/>
      <w:marLeft w:val="0"/>
      <w:marRight w:val="0"/>
      <w:marTop w:val="0"/>
      <w:marBottom w:val="0"/>
      <w:divBdr>
        <w:top w:val="none" w:sz="0" w:space="0" w:color="auto"/>
        <w:left w:val="none" w:sz="0" w:space="0" w:color="auto"/>
        <w:bottom w:val="none" w:sz="0" w:space="0" w:color="auto"/>
        <w:right w:val="none" w:sz="0" w:space="0" w:color="auto"/>
      </w:divBdr>
    </w:div>
    <w:div w:id="1517965798">
      <w:bodyDiv w:val="1"/>
      <w:marLeft w:val="0"/>
      <w:marRight w:val="0"/>
      <w:marTop w:val="0"/>
      <w:marBottom w:val="0"/>
      <w:divBdr>
        <w:top w:val="none" w:sz="0" w:space="0" w:color="auto"/>
        <w:left w:val="none" w:sz="0" w:space="0" w:color="auto"/>
        <w:bottom w:val="none" w:sz="0" w:space="0" w:color="auto"/>
        <w:right w:val="none" w:sz="0" w:space="0" w:color="auto"/>
      </w:divBdr>
    </w:div>
    <w:div w:id="1998224897">
      <w:bodyDiv w:val="1"/>
      <w:marLeft w:val="0"/>
      <w:marRight w:val="0"/>
      <w:marTop w:val="0"/>
      <w:marBottom w:val="0"/>
      <w:divBdr>
        <w:top w:val="none" w:sz="0" w:space="0" w:color="auto"/>
        <w:left w:val="none" w:sz="0" w:space="0" w:color="auto"/>
        <w:bottom w:val="none" w:sz="0" w:space="0" w:color="auto"/>
        <w:right w:val="none" w:sz="0" w:space="0" w:color="auto"/>
      </w:divBdr>
    </w:div>
    <w:div w:id="2115467690">
      <w:bodyDiv w:val="1"/>
      <w:marLeft w:val="0"/>
      <w:marRight w:val="0"/>
      <w:marTop w:val="0"/>
      <w:marBottom w:val="0"/>
      <w:divBdr>
        <w:top w:val="none" w:sz="0" w:space="0" w:color="auto"/>
        <w:left w:val="none" w:sz="0" w:space="0" w:color="auto"/>
        <w:bottom w:val="none" w:sz="0" w:space="0" w:color="auto"/>
        <w:right w:val="none" w:sz="0" w:space="0" w:color="auto"/>
      </w:divBdr>
    </w:div>
    <w:div w:id="2122065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c\Users\CFB\Library\Application%20Support\Microsoft\Office\Mode&#768;les%20utilisateur\Mes%20mode&#768;les\FFCR.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C63F-DE66-034F-B343-2B656F3F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iMac\Users\CFB\Library\Application Support\Microsoft\Office\Modèles utilisateur\Mes modèles\FFCR.dotx</Template>
  <TotalTime>1</TotalTime>
  <Pages>2</Pages>
  <Words>738</Words>
  <Characters>4059</Characters>
  <Application>Microsoft Office Word</Application>
  <DocSecurity>0</DocSecurity>
  <Lines>33</Lines>
  <Paragraphs>9</Paragraphs>
  <ScaleCrop>false</ScaleCrop>
  <HeadingPairs>
    <vt:vector size="4" baseType="variant">
      <vt:variant>
        <vt:lpstr>Titre</vt:lpstr>
      </vt:variant>
      <vt:variant>
        <vt:i4>1</vt:i4>
      </vt:variant>
      <vt:variant>
        <vt:lpstr>Headings</vt:lpstr>
      </vt:variant>
      <vt:variant>
        <vt:i4>8</vt:i4>
      </vt:variant>
    </vt:vector>
  </HeadingPairs>
  <TitlesOfParts>
    <vt:vector size="9" baseType="lpstr">
      <vt:lpstr/>
      <vt:lpstr/>
      <vt:lpstr>Madame Audrey Azoulay</vt:lpstr>
      <vt:lpstr>Un champ d’étude mal défini</vt:lpstr>
      <vt:lpstr>Des définitions sélectives</vt:lpstr>
      <vt:lpstr>En-tête de la FFCR</vt:lpstr>
      <vt:lpstr>Paris, le 15 décembre 2016</vt:lpstr>
      <vt:lpstr>Un champ d’étude mal défini</vt:lpstr>
      <vt:lpstr>Des définitions sélectives</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Camille-Frédérique Blind</dc:creator>
  <cp:keywords/>
  <cp:lastModifiedBy>CF Blind</cp:lastModifiedBy>
  <cp:revision>3</cp:revision>
  <cp:lastPrinted>2016-05-31T13:38:00Z</cp:lastPrinted>
  <dcterms:created xsi:type="dcterms:W3CDTF">2020-06-02T08:59:00Z</dcterms:created>
  <dcterms:modified xsi:type="dcterms:W3CDTF">2020-06-02T09:19:00Z</dcterms:modified>
</cp:coreProperties>
</file>